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40" w:rsidRPr="001C75CF" w:rsidRDefault="00D87840" w:rsidP="00D87840">
      <w:pPr>
        <w:jc w:val="center"/>
        <w:rPr>
          <w:b/>
          <w:sz w:val="18"/>
        </w:rPr>
      </w:pPr>
      <w:r>
        <w:rPr>
          <w:b/>
          <w:sz w:val="24"/>
          <w:szCs w:val="32"/>
        </w:rPr>
        <w:t>T.C. Serhat</w:t>
      </w:r>
      <w:r w:rsidRPr="001C75CF">
        <w:rPr>
          <w:b/>
          <w:sz w:val="24"/>
          <w:szCs w:val="32"/>
        </w:rPr>
        <w:t xml:space="preserve"> Kalkınma Ajansı Kalkınma Kurulu Üyelik Formu</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6095"/>
      </w:tblGrid>
      <w:tr w:rsidR="00D87840" w:rsidRPr="00F570CA" w:rsidTr="0013232C">
        <w:trPr>
          <w:trHeight w:val="278"/>
        </w:trPr>
        <w:tc>
          <w:tcPr>
            <w:tcW w:w="9087" w:type="dxa"/>
            <w:gridSpan w:val="2"/>
            <w:tcBorders>
              <w:top w:val="nil"/>
              <w:left w:val="nil"/>
              <w:right w:val="nil"/>
            </w:tcBorders>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r w:rsidRPr="00F570CA">
              <w:rPr>
                <w:rFonts w:eastAsia="Times New Roman"/>
                <w:b/>
                <w:bCs/>
                <w:color w:val="000000"/>
                <w:sz w:val="24"/>
                <w:szCs w:val="24"/>
                <w:lang w:eastAsia="tr-TR"/>
              </w:rPr>
              <w:t xml:space="preserve">Kurum Bilgileri </w:t>
            </w:r>
            <w:r w:rsidRPr="00FD49EF">
              <w:rPr>
                <w:rFonts w:eastAsia="Times New Roman"/>
                <w:b/>
                <w:bCs/>
                <w:i/>
                <w:color w:val="A6A6A6" w:themeColor="background1" w:themeShade="A6"/>
                <w:sz w:val="24"/>
                <w:szCs w:val="24"/>
                <w:lang w:eastAsia="tr-TR"/>
              </w:rPr>
              <w:t>(Lütfen tümünü doldurunuz)</w:t>
            </w: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Kurum Adı</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Posta Adresi</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 xml:space="preserve">Telefon </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 xml:space="preserve">Faks </w:t>
            </w:r>
          </w:p>
        </w:tc>
        <w:tc>
          <w:tcPr>
            <w:tcW w:w="6095" w:type="dxa"/>
            <w:shd w:val="clear" w:color="auto" w:fill="auto"/>
            <w:noWrap/>
            <w:vAlign w:val="center"/>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Web Adresi</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Kurum E-posta</w:t>
            </w:r>
          </w:p>
        </w:tc>
        <w:tc>
          <w:tcPr>
            <w:tcW w:w="6095" w:type="dxa"/>
            <w:shd w:val="clear" w:color="auto" w:fill="auto"/>
            <w:noWrap/>
            <w:vAlign w:val="center"/>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278"/>
        </w:trPr>
        <w:tc>
          <w:tcPr>
            <w:tcW w:w="9087" w:type="dxa"/>
            <w:gridSpan w:val="2"/>
            <w:tcBorders>
              <w:left w:val="nil"/>
              <w:right w:val="nil"/>
            </w:tcBorders>
            <w:shd w:val="clear" w:color="auto" w:fill="auto"/>
            <w:noWrap/>
            <w:vAlign w:val="center"/>
            <w:hideMark/>
          </w:tcPr>
          <w:p w:rsidR="00D87840" w:rsidRPr="00F570CA" w:rsidRDefault="00D87840" w:rsidP="0013232C">
            <w:pPr>
              <w:spacing w:after="0" w:line="240" w:lineRule="auto"/>
              <w:jc w:val="both"/>
              <w:rPr>
                <w:rFonts w:eastAsia="Times New Roman"/>
                <w:b/>
                <w:bCs/>
                <w:color w:val="000000"/>
                <w:sz w:val="24"/>
                <w:szCs w:val="24"/>
                <w:lang w:eastAsia="tr-TR"/>
              </w:rPr>
            </w:pPr>
          </w:p>
          <w:p w:rsidR="00D87840" w:rsidRPr="00F570CA" w:rsidRDefault="00D87840" w:rsidP="0013232C">
            <w:pPr>
              <w:spacing w:after="0" w:line="240" w:lineRule="auto"/>
              <w:jc w:val="both"/>
              <w:rPr>
                <w:rFonts w:eastAsia="Times New Roman"/>
                <w:color w:val="000000"/>
                <w:lang w:eastAsia="tr-TR"/>
              </w:rPr>
            </w:pPr>
            <w:r w:rsidRPr="00F570CA">
              <w:rPr>
                <w:rFonts w:eastAsia="Times New Roman"/>
                <w:b/>
                <w:bCs/>
                <w:color w:val="000000"/>
                <w:sz w:val="24"/>
                <w:szCs w:val="24"/>
                <w:lang w:eastAsia="tr-TR"/>
              </w:rPr>
              <w:t>Kurum</w:t>
            </w:r>
            <w:r>
              <w:rPr>
                <w:rFonts w:eastAsia="Times New Roman"/>
                <w:b/>
                <w:bCs/>
                <w:color w:val="000000"/>
                <w:sz w:val="24"/>
                <w:szCs w:val="24"/>
                <w:lang w:eastAsia="tr-TR"/>
              </w:rPr>
              <w:t>un</w:t>
            </w:r>
            <w:r w:rsidRPr="00F570CA">
              <w:rPr>
                <w:rFonts w:eastAsia="Times New Roman"/>
                <w:b/>
                <w:bCs/>
                <w:color w:val="000000"/>
                <w:sz w:val="24"/>
                <w:szCs w:val="24"/>
                <w:lang w:eastAsia="tr-TR"/>
              </w:rPr>
              <w:t xml:space="preserve"> En Üst Temsilcisi </w:t>
            </w:r>
            <w:r w:rsidRPr="00FD49EF">
              <w:rPr>
                <w:rFonts w:eastAsia="Times New Roman"/>
                <w:b/>
                <w:bCs/>
                <w:i/>
                <w:color w:val="A6A6A6" w:themeColor="background1" w:themeShade="A6"/>
                <w:sz w:val="24"/>
                <w:szCs w:val="24"/>
                <w:lang w:eastAsia="tr-TR"/>
              </w:rPr>
              <w:t>(Lütfen tümünü doldurunuz)</w:t>
            </w: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Adı Soyadı</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Telefon</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Cep Telefonu</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hideMark/>
          </w:tcPr>
          <w:p w:rsidR="00D87840" w:rsidRPr="00F570CA" w:rsidRDefault="00D87840" w:rsidP="0013232C">
            <w:pPr>
              <w:spacing w:after="0" w:line="240" w:lineRule="auto"/>
              <w:rPr>
                <w:rFonts w:eastAsia="Times New Roman"/>
                <w:b/>
                <w:color w:val="000000"/>
                <w:lang w:eastAsia="tr-TR"/>
              </w:rPr>
            </w:pPr>
            <w:r w:rsidRPr="00F570CA">
              <w:rPr>
                <w:rFonts w:eastAsia="Times New Roman"/>
                <w:b/>
                <w:color w:val="000000"/>
                <w:lang w:eastAsia="tr-TR"/>
              </w:rPr>
              <w:t>E-posta</w:t>
            </w:r>
          </w:p>
        </w:tc>
        <w:tc>
          <w:tcPr>
            <w:tcW w:w="6095" w:type="dxa"/>
            <w:shd w:val="clear" w:color="auto" w:fill="auto"/>
            <w:noWrap/>
            <w:vAlign w:val="center"/>
            <w:hideMark/>
          </w:tcPr>
          <w:p w:rsidR="00D87840" w:rsidRPr="00F570CA" w:rsidRDefault="00D87840" w:rsidP="0013232C">
            <w:pPr>
              <w:spacing w:after="0" w:line="240" w:lineRule="auto"/>
              <w:rPr>
                <w:rFonts w:eastAsia="Times New Roman"/>
                <w:color w:val="000000"/>
                <w:lang w:eastAsia="tr-TR"/>
              </w:rPr>
            </w:pPr>
          </w:p>
        </w:tc>
      </w:tr>
      <w:tr w:rsidR="00D87840" w:rsidRPr="00F570CA" w:rsidTr="0013232C">
        <w:trPr>
          <w:trHeight w:val="397"/>
        </w:trPr>
        <w:tc>
          <w:tcPr>
            <w:tcW w:w="2992" w:type="dxa"/>
            <w:shd w:val="clear" w:color="auto" w:fill="auto"/>
            <w:noWrap/>
            <w:vAlign w:val="center"/>
          </w:tcPr>
          <w:p w:rsidR="00D87840" w:rsidRPr="00F570CA" w:rsidRDefault="00D87840" w:rsidP="0013232C">
            <w:pPr>
              <w:spacing w:after="0" w:line="240" w:lineRule="auto"/>
              <w:rPr>
                <w:rFonts w:eastAsia="Times New Roman"/>
                <w:b/>
                <w:color w:val="000000"/>
                <w:lang w:eastAsia="tr-TR"/>
              </w:rPr>
            </w:pPr>
            <w:r>
              <w:rPr>
                <w:rFonts w:eastAsia="Times New Roman"/>
                <w:b/>
                <w:color w:val="000000"/>
                <w:lang w:eastAsia="tr-TR"/>
              </w:rPr>
              <w:t>Eğitim Bilgisi</w:t>
            </w:r>
          </w:p>
        </w:tc>
        <w:tc>
          <w:tcPr>
            <w:tcW w:w="6095" w:type="dxa"/>
            <w:shd w:val="clear" w:color="auto" w:fill="auto"/>
            <w:noWrap/>
            <w:vAlign w:val="center"/>
          </w:tcPr>
          <w:p w:rsidR="00D87840" w:rsidRPr="00F570CA" w:rsidRDefault="00D87840" w:rsidP="0013232C">
            <w:pPr>
              <w:spacing w:after="0" w:line="240" w:lineRule="auto"/>
              <w:rPr>
                <w:rFonts w:eastAsia="Times New Roman"/>
                <w:color w:val="000000"/>
                <w:lang w:eastAsia="tr-TR"/>
              </w:rPr>
            </w:pPr>
          </w:p>
        </w:tc>
      </w:tr>
    </w:tbl>
    <w:p w:rsidR="00D87840" w:rsidRPr="00F570CA" w:rsidRDefault="00D87840" w:rsidP="00D87840">
      <w:pPr>
        <w:spacing w:after="0"/>
      </w:pPr>
    </w:p>
    <w:tbl>
      <w:tblPr>
        <w:tblStyle w:val="TabloKlavuzu"/>
        <w:tblpPr w:leftFromText="141" w:rightFromText="141" w:vertAnchor="text" w:horzAnchor="margin" w:tblpXSpec="right" w:tblpY="233"/>
        <w:tblW w:w="4617" w:type="dxa"/>
        <w:tblLook w:val="04A0" w:firstRow="1" w:lastRow="0" w:firstColumn="1" w:lastColumn="0" w:noHBand="0" w:noVBand="1"/>
      </w:tblPr>
      <w:tblGrid>
        <w:gridCol w:w="1384"/>
        <w:gridCol w:w="3233"/>
      </w:tblGrid>
      <w:tr w:rsidR="00D87840" w:rsidRPr="00F570CA" w:rsidTr="0013232C">
        <w:trPr>
          <w:trHeight w:val="565"/>
        </w:trPr>
        <w:tc>
          <w:tcPr>
            <w:tcW w:w="4617" w:type="dxa"/>
            <w:gridSpan w:val="2"/>
            <w:vAlign w:val="center"/>
          </w:tcPr>
          <w:p w:rsidR="00D87840" w:rsidRPr="00F570CA" w:rsidRDefault="00D87840" w:rsidP="0013232C">
            <w:r w:rsidRPr="00F570CA">
              <w:rPr>
                <w:b/>
              </w:rPr>
              <w:t>Kurumun En Üst Yöneticisinin</w:t>
            </w:r>
          </w:p>
        </w:tc>
      </w:tr>
      <w:tr w:rsidR="00D87840" w:rsidRPr="00F570CA" w:rsidTr="0013232C">
        <w:trPr>
          <w:trHeight w:val="441"/>
        </w:trPr>
        <w:tc>
          <w:tcPr>
            <w:tcW w:w="1384" w:type="dxa"/>
            <w:vAlign w:val="center"/>
          </w:tcPr>
          <w:p w:rsidR="00D87840" w:rsidRPr="00F570CA" w:rsidRDefault="00D87840" w:rsidP="0013232C">
            <w:r w:rsidRPr="00F570CA">
              <w:rPr>
                <w:b/>
              </w:rPr>
              <w:t>Adı Soyadı</w:t>
            </w:r>
          </w:p>
        </w:tc>
        <w:tc>
          <w:tcPr>
            <w:tcW w:w="3233" w:type="dxa"/>
            <w:vAlign w:val="center"/>
          </w:tcPr>
          <w:p w:rsidR="00D87840" w:rsidRPr="00F570CA" w:rsidRDefault="00D87840" w:rsidP="0013232C">
            <w:pPr>
              <w:jc w:val="center"/>
            </w:pPr>
          </w:p>
        </w:tc>
      </w:tr>
      <w:tr w:rsidR="00D87840" w:rsidRPr="00F570CA" w:rsidTr="0013232C">
        <w:trPr>
          <w:trHeight w:val="441"/>
        </w:trPr>
        <w:tc>
          <w:tcPr>
            <w:tcW w:w="1384" w:type="dxa"/>
            <w:vAlign w:val="center"/>
          </w:tcPr>
          <w:p w:rsidR="00D87840" w:rsidRPr="00F570CA" w:rsidRDefault="00D87840" w:rsidP="0013232C">
            <w:pPr>
              <w:rPr>
                <w:b/>
              </w:rPr>
            </w:pPr>
            <w:proofErr w:type="spellStart"/>
            <w:r>
              <w:rPr>
                <w:b/>
              </w:rPr>
              <w:t>Ü</w:t>
            </w:r>
            <w:r w:rsidRPr="00F570CA">
              <w:rPr>
                <w:b/>
              </w:rPr>
              <w:t>nvanı</w:t>
            </w:r>
            <w:proofErr w:type="spellEnd"/>
          </w:p>
        </w:tc>
        <w:tc>
          <w:tcPr>
            <w:tcW w:w="3233" w:type="dxa"/>
            <w:vAlign w:val="center"/>
          </w:tcPr>
          <w:p w:rsidR="00D87840" w:rsidRPr="00F570CA" w:rsidRDefault="00D87840" w:rsidP="0013232C">
            <w:pPr>
              <w:jc w:val="center"/>
            </w:pPr>
          </w:p>
        </w:tc>
      </w:tr>
      <w:tr w:rsidR="00D87840" w:rsidRPr="00F570CA" w:rsidTr="0013232C">
        <w:trPr>
          <w:trHeight w:val="441"/>
        </w:trPr>
        <w:tc>
          <w:tcPr>
            <w:tcW w:w="1384" w:type="dxa"/>
            <w:vAlign w:val="center"/>
          </w:tcPr>
          <w:p w:rsidR="00D87840" w:rsidRPr="00F570CA" w:rsidRDefault="00D87840" w:rsidP="0013232C">
            <w:pPr>
              <w:rPr>
                <w:b/>
              </w:rPr>
            </w:pPr>
            <w:r w:rsidRPr="00F570CA">
              <w:rPr>
                <w:b/>
              </w:rPr>
              <w:t>Tarih</w:t>
            </w:r>
          </w:p>
        </w:tc>
        <w:tc>
          <w:tcPr>
            <w:tcW w:w="3233" w:type="dxa"/>
            <w:vAlign w:val="center"/>
          </w:tcPr>
          <w:p w:rsidR="00D87840" w:rsidRPr="00F570CA" w:rsidRDefault="00D87840" w:rsidP="0013232C">
            <w:pPr>
              <w:jc w:val="center"/>
            </w:pPr>
          </w:p>
        </w:tc>
      </w:tr>
      <w:tr w:rsidR="00D87840" w:rsidRPr="00F570CA" w:rsidTr="0013232C">
        <w:trPr>
          <w:trHeight w:val="1258"/>
        </w:trPr>
        <w:tc>
          <w:tcPr>
            <w:tcW w:w="4617" w:type="dxa"/>
            <w:gridSpan w:val="2"/>
            <w:vAlign w:val="center"/>
          </w:tcPr>
          <w:p w:rsidR="00D87840" w:rsidRPr="00F570CA" w:rsidRDefault="00D87840" w:rsidP="0013232C">
            <w:pPr>
              <w:jc w:val="center"/>
              <w:rPr>
                <w:b/>
              </w:rPr>
            </w:pPr>
            <w:r w:rsidRPr="00FD49EF">
              <w:rPr>
                <w:b/>
                <w:color w:val="A6A6A6" w:themeColor="background1" w:themeShade="A6"/>
              </w:rPr>
              <w:t>İmza</w:t>
            </w:r>
          </w:p>
        </w:tc>
      </w:tr>
    </w:tbl>
    <w:p w:rsidR="00D87840" w:rsidRDefault="00D87840" w:rsidP="00D87840"/>
    <w:p w:rsidR="00D87840" w:rsidRDefault="00D87840" w:rsidP="00D87840"/>
    <w:p w:rsidR="00D87840" w:rsidRPr="00F570CA" w:rsidRDefault="00D87840" w:rsidP="00D87840"/>
    <w:p w:rsidR="00D87840" w:rsidRPr="00F570CA" w:rsidRDefault="00D87840" w:rsidP="00D87840">
      <w:r w:rsidRPr="00F570CA">
        <w:rPr>
          <w:noProof/>
          <w:lang w:eastAsia="tr-TR"/>
        </w:rPr>
        <mc:AlternateContent>
          <mc:Choice Requires="wps">
            <w:drawing>
              <wp:anchor distT="0" distB="0" distL="114300" distR="114300" simplePos="0" relativeHeight="251659264" behindDoc="0" locked="0" layoutInCell="1" allowOverlap="1" wp14:anchorId="59F973F9" wp14:editId="51E2EF6C">
                <wp:simplePos x="0" y="0"/>
                <wp:positionH relativeFrom="column">
                  <wp:posOffset>5080</wp:posOffset>
                </wp:positionH>
                <wp:positionV relativeFrom="paragraph">
                  <wp:posOffset>1501775</wp:posOffset>
                </wp:positionV>
                <wp:extent cx="5800725" cy="3095625"/>
                <wp:effectExtent l="0" t="0" r="28575" b="2857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095625"/>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D87840" w:rsidRPr="00837717" w:rsidRDefault="00D87840" w:rsidP="00D87840">
                            <w:pPr>
                              <w:spacing w:after="0"/>
                              <w:jc w:val="center"/>
                              <w:rPr>
                                <w:b/>
                                <w:sz w:val="24"/>
                                <w:szCs w:val="20"/>
                              </w:rPr>
                            </w:pPr>
                            <w:r w:rsidRPr="00837717">
                              <w:rPr>
                                <w:b/>
                                <w:sz w:val="24"/>
                                <w:szCs w:val="20"/>
                              </w:rPr>
                              <w:t>UYARI!</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Kalkınma Kurulunda üye kurum ve kuruluşların </w:t>
                            </w:r>
                            <w:r w:rsidRPr="0092640A">
                              <w:rPr>
                                <w:b/>
                                <w:sz w:val="20"/>
                                <w:szCs w:val="20"/>
                              </w:rPr>
                              <w:t>en üst düzeyde temsil edilmeleri</w:t>
                            </w:r>
                            <w:r w:rsidRPr="0092640A">
                              <w:rPr>
                                <w:sz w:val="20"/>
                                <w:szCs w:val="20"/>
                              </w:rPr>
                              <w:t xml:space="preserve"> </w:t>
                            </w:r>
                            <w:r w:rsidRPr="0092640A">
                              <w:rPr>
                                <w:b/>
                                <w:sz w:val="20"/>
                                <w:szCs w:val="20"/>
                              </w:rPr>
                              <w:t>zorunludur.</w:t>
                            </w:r>
                            <w:r w:rsidRPr="0092640A">
                              <w:rPr>
                                <w:sz w:val="20"/>
                                <w:szCs w:val="20"/>
                              </w:rPr>
                              <w:t xml:space="preserve"> Kurumun en üst düzey yetkilisinin değişmesi durumunda ilgili Valilik ve SERKA bilgilendirilerek kurum temsilcisinin bilgileri güncellenmelidir.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Kalkınma Kurulunda üye kurum ve kuruluşların en üst düzey temsilci dışında temsil edilebilmeleri için kalkınma konusunda tecrübeli bir temsilcinin önerilmesi </w:t>
                            </w:r>
                            <w:r w:rsidRPr="002A3442">
                              <w:rPr>
                                <w:sz w:val="20"/>
                                <w:szCs w:val="20"/>
                              </w:rPr>
                              <w:t>ve</w:t>
                            </w:r>
                            <w:r w:rsidRPr="00F208E3">
                              <w:rPr>
                                <w:b/>
                                <w:sz w:val="20"/>
                                <w:szCs w:val="20"/>
                              </w:rPr>
                              <w:t xml:space="preserve"> önerilen temsilcinin</w:t>
                            </w:r>
                            <w:r w:rsidRPr="0092640A">
                              <w:rPr>
                                <w:sz w:val="20"/>
                                <w:szCs w:val="20"/>
                              </w:rPr>
                              <w:t xml:space="preserve"> </w:t>
                            </w:r>
                            <w:r w:rsidRPr="0092640A">
                              <w:rPr>
                                <w:b/>
                                <w:sz w:val="20"/>
                                <w:szCs w:val="20"/>
                              </w:rPr>
                              <w:t>Ajans Genel Sekreterliği tarafından onaylanması</w:t>
                            </w:r>
                            <w:r w:rsidRPr="0092640A">
                              <w:rPr>
                                <w:sz w:val="20"/>
                                <w:szCs w:val="20"/>
                              </w:rPr>
                              <w:t xml:space="preserve"> gerekmektedir.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Kalkınma Kurulunda görev alan temsilcilerin ölümü, istifası, iflası, kısıtlanması, bir yılı aşan hürriyeti bağlayıcı bir ceza alması ve temsil ettiği kuruluş ile ilişkinin herhangi bir şekilde sona ermesi halinde, görevi kendiliğinden sona erer.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Geçerli bir mazereti olmaksızın </w:t>
                            </w:r>
                            <w:r w:rsidRPr="0092640A">
                              <w:rPr>
                                <w:b/>
                                <w:sz w:val="20"/>
                                <w:szCs w:val="20"/>
                              </w:rPr>
                              <w:t>üst üste iki defa ve her halükarda toplam dört defa</w:t>
                            </w:r>
                            <w:r w:rsidRPr="0092640A">
                              <w:rPr>
                                <w:sz w:val="20"/>
                                <w:szCs w:val="20"/>
                              </w:rPr>
                              <w:t xml:space="preserve"> Kalkınma Kurulu toplantısına katılmayan temsilcilerin görevi de kendiliğinden düşer. Bu gibi durumlarda yeni temsilci, </w:t>
                            </w:r>
                            <w:r w:rsidRPr="0092640A">
                              <w:rPr>
                                <w:b/>
                                <w:sz w:val="20"/>
                                <w:szCs w:val="20"/>
                              </w:rPr>
                              <w:t>en geç üç hafta</w:t>
                            </w:r>
                            <w:r w:rsidRPr="0092640A">
                              <w:rPr>
                                <w:sz w:val="20"/>
                                <w:szCs w:val="20"/>
                              </w:rPr>
                              <w:t xml:space="preserve"> içerisinde ilgili kuruluş tarafından belirlenir ve ilgili Valiliğe ve </w:t>
                            </w:r>
                            <w:proofErr w:type="spellStart"/>
                            <w:r w:rsidRPr="0092640A">
                              <w:rPr>
                                <w:sz w:val="20"/>
                                <w:szCs w:val="20"/>
                              </w:rPr>
                              <w:t>SERKA’ya</w:t>
                            </w:r>
                            <w:proofErr w:type="spellEnd"/>
                            <w:r w:rsidRPr="0092640A">
                              <w:rPr>
                                <w:sz w:val="20"/>
                                <w:szCs w:val="20"/>
                              </w:rPr>
                              <w:t xml:space="preserve"> bildirilir. Bu süre içerisinde yeni temsilci bildirmeyen kuruluşların Kalkınma Kurulunda temsili kendiliğinden sona erer ve sıradaki yedek kuruluş Kalkınma Kuruluna temsilci gönderme hakkı kazanır. </w:t>
                            </w:r>
                          </w:p>
                          <w:p w:rsidR="00D87840" w:rsidRPr="0092640A" w:rsidRDefault="00D87840" w:rsidP="00D87840">
                            <w:pPr>
                              <w:pStyle w:val="ListeParagraf"/>
                              <w:numPr>
                                <w:ilvl w:val="0"/>
                                <w:numId w:val="1"/>
                              </w:numPr>
                              <w:spacing w:line="240" w:lineRule="auto"/>
                              <w:jc w:val="both"/>
                              <w:rPr>
                                <w:sz w:val="20"/>
                                <w:szCs w:val="20"/>
                              </w:rPr>
                            </w:pPr>
                            <w:r w:rsidRPr="00837717">
                              <w:rPr>
                                <w:sz w:val="20"/>
                                <w:szCs w:val="20"/>
                              </w:rPr>
                              <w:t xml:space="preserve">Kalkınma Kurulunda görev alan temsilcinin izin, geçici hastalık, yurt dışında bulunma gibi sebeplerle görevinin başında bulunamadığı durumlarda, </w:t>
                            </w:r>
                            <w:r w:rsidRPr="00837717">
                              <w:rPr>
                                <w:b/>
                                <w:sz w:val="20"/>
                                <w:szCs w:val="20"/>
                              </w:rPr>
                              <w:t>söz konusu temsilciye vekâlet eden kişi</w:t>
                            </w:r>
                            <w:r w:rsidRPr="00837717">
                              <w:rPr>
                                <w:sz w:val="20"/>
                                <w:szCs w:val="20"/>
                              </w:rPr>
                              <w:t>, ilgili temsilciye vekâleten kurul toplantılarına katılabilir.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pt;margin-top:118.25pt;width:456.75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" fillcolor="window" strokecolor="windowText" strokeweight="1pt">
                <v:textbox>
                  <w:txbxContent>
                    <w:p w:rsidR="00D87840" w:rsidRPr="00837717" w:rsidRDefault="00D87840" w:rsidP="00D87840">
                      <w:pPr>
                        <w:spacing w:after="0"/>
                        <w:jc w:val="center"/>
                        <w:rPr>
                          <w:b/>
                          <w:sz w:val="24"/>
                          <w:szCs w:val="20"/>
                        </w:rPr>
                      </w:pPr>
                      <w:r w:rsidRPr="00837717">
                        <w:rPr>
                          <w:b/>
                          <w:sz w:val="24"/>
                          <w:szCs w:val="20"/>
                        </w:rPr>
                        <w:t>UYARI!</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Kalkınma Kurulunda üye kurum ve kuruluşların </w:t>
                      </w:r>
                      <w:r w:rsidRPr="0092640A">
                        <w:rPr>
                          <w:b/>
                          <w:sz w:val="20"/>
                          <w:szCs w:val="20"/>
                        </w:rPr>
                        <w:t>en üst düzeyde temsil edilmeleri</w:t>
                      </w:r>
                      <w:r w:rsidRPr="0092640A">
                        <w:rPr>
                          <w:sz w:val="20"/>
                          <w:szCs w:val="20"/>
                        </w:rPr>
                        <w:t xml:space="preserve"> </w:t>
                      </w:r>
                      <w:r w:rsidRPr="0092640A">
                        <w:rPr>
                          <w:b/>
                          <w:sz w:val="20"/>
                          <w:szCs w:val="20"/>
                        </w:rPr>
                        <w:t>zorunludur.</w:t>
                      </w:r>
                      <w:r w:rsidRPr="0092640A">
                        <w:rPr>
                          <w:sz w:val="20"/>
                          <w:szCs w:val="20"/>
                        </w:rPr>
                        <w:t xml:space="preserve"> Kurumun en üst düzey yetkilisinin değişmesi durumunda ilgili Valilik ve SERKA bilgilendirilerek kurum temsilcisinin bilgileri güncellenmelidir.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Kalkınma Kurulunda üye kurum ve kuruluşların en üst düzey temsilci dışında temsil edilebilmeleri için kalkınma konusunda tecrübeli bir temsilcinin önerilmesi </w:t>
                      </w:r>
                      <w:r w:rsidRPr="002A3442">
                        <w:rPr>
                          <w:sz w:val="20"/>
                          <w:szCs w:val="20"/>
                        </w:rPr>
                        <w:t>ve</w:t>
                      </w:r>
                      <w:r w:rsidRPr="00F208E3">
                        <w:rPr>
                          <w:b/>
                          <w:sz w:val="20"/>
                          <w:szCs w:val="20"/>
                        </w:rPr>
                        <w:t xml:space="preserve"> önerilen temsilcinin</w:t>
                      </w:r>
                      <w:r w:rsidRPr="0092640A">
                        <w:rPr>
                          <w:sz w:val="20"/>
                          <w:szCs w:val="20"/>
                        </w:rPr>
                        <w:t xml:space="preserve"> </w:t>
                      </w:r>
                      <w:r w:rsidRPr="0092640A">
                        <w:rPr>
                          <w:b/>
                          <w:sz w:val="20"/>
                          <w:szCs w:val="20"/>
                        </w:rPr>
                        <w:t>Ajans Genel Sekreterliği tarafından onaylanması</w:t>
                      </w:r>
                      <w:r w:rsidRPr="0092640A">
                        <w:rPr>
                          <w:sz w:val="20"/>
                          <w:szCs w:val="20"/>
                        </w:rPr>
                        <w:t xml:space="preserve"> gerekmektedir.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Kalkınma Kurulunda görev alan temsilcilerin ölümü, istifası, iflası, kısıtlanması, bir yılı aşan hürriyeti bağlayıcı bir ceza alması ve temsil ettiği kuruluş ile ilişkinin herhangi bir şekilde sona ermesi halinde, görevi kendiliğinden sona erer.</w:t>
                      </w:r>
                    </w:p>
                    <w:p w:rsidR="00D87840" w:rsidRPr="0092640A" w:rsidRDefault="00D87840" w:rsidP="00D87840">
                      <w:pPr>
                        <w:pStyle w:val="ListeParagraf"/>
                        <w:numPr>
                          <w:ilvl w:val="0"/>
                          <w:numId w:val="1"/>
                        </w:numPr>
                        <w:spacing w:line="240" w:lineRule="auto"/>
                        <w:jc w:val="both"/>
                        <w:rPr>
                          <w:sz w:val="20"/>
                          <w:szCs w:val="20"/>
                        </w:rPr>
                      </w:pPr>
                      <w:r w:rsidRPr="0092640A">
                        <w:rPr>
                          <w:sz w:val="20"/>
                          <w:szCs w:val="20"/>
                        </w:rPr>
                        <w:t xml:space="preserve">Geçerli bir mazereti olmaksızın </w:t>
                      </w:r>
                      <w:r w:rsidRPr="0092640A">
                        <w:rPr>
                          <w:b/>
                          <w:sz w:val="20"/>
                          <w:szCs w:val="20"/>
                        </w:rPr>
                        <w:t>üst üste iki defa ve her halükarda toplam dört defa</w:t>
                      </w:r>
                      <w:r w:rsidRPr="0092640A">
                        <w:rPr>
                          <w:sz w:val="20"/>
                          <w:szCs w:val="20"/>
                        </w:rPr>
                        <w:t xml:space="preserve"> Kalkınma Kurulu toplantısına katılmayan temsilcilerin görevi de kendiliğinden düşer. Bu gibi durumlarda yeni temsilci, </w:t>
                      </w:r>
                      <w:r w:rsidRPr="0092640A">
                        <w:rPr>
                          <w:b/>
                          <w:sz w:val="20"/>
                          <w:szCs w:val="20"/>
                        </w:rPr>
                        <w:t>en geç üç hafta</w:t>
                      </w:r>
                      <w:r w:rsidRPr="0092640A">
                        <w:rPr>
                          <w:sz w:val="20"/>
                          <w:szCs w:val="20"/>
                        </w:rPr>
                        <w:t xml:space="preserve"> içerisinde ilgili kuruluş tarafından belirlenir ve ilgili Valiliğe ve </w:t>
                      </w:r>
                      <w:proofErr w:type="spellStart"/>
                      <w:r w:rsidRPr="0092640A">
                        <w:rPr>
                          <w:sz w:val="20"/>
                          <w:szCs w:val="20"/>
                        </w:rPr>
                        <w:t>SERKA’ya</w:t>
                      </w:r>
                      <w:proofErr w:type="spellEnd"/>
                      <w:r w:rsidRPr="0092640A">
                        <w:rPr>
                          <w:sz w:val="20"/>
                          <w:szCs w:val="20"/>
                        </w:rPr>
                        <w:t xml:space="preserve"> bildirilir. Bu süre içerisinde yeni temsilci bildirmeyen kuruluşların Kalkınma Kurulunda temsili kendiliğinden sona erer ve sıradaki yedek kuruluş Kalkınma Kuruluna temsilci gönderme hakkı kazanır. </w:t>
                      </w:r>
                    </w:p>
                    <w:p w:rsidR="00D87840" w:rsidRPr="0092640A" w:rsidRDefault="00D87840" w:rsidP="00D87840">
                      <w:pPr>
                        <w:pStyle w:val="ListeParagraf"/>
                        <w:numPr>
                          <w:ilvl w:val="0"/>
                          <w:numId w:val="1"/>
                        </w:numPr>
                        <w:spacing w:line="240" w:lineRule="auto"/>
                        <w:jc w:val="both"/>
                        <w:rPr>
                          <w:sz w:val="20"/>
                          <w:szCs w:val="20"/>
                        </w:rPr>
                      </w:pPr>
                      <w:r w:rsidRPr="00837717">
                        <w:rPr>
                          <w:sz w:val="20"/>
                          <w:szCs w:val="20"/>
                        </w:rPr>
                        <w:t xml:space="preserve">Kalkınma Kurulunda görev alan temsilcinin izin, geçici hastalık, yurt dışında bulunma gibi sebeplerle görevinin başında bulunamadığı durumlarda, </w:t>
                      </w:r>
                      <w:r w:rsidRPr="00837717">
                        <w:rPr>
                          <w:b/>
                          <w:sz w:val="20"/>
                          <w:szCs w:val="20"/>
                        </w:rPr>
                        <w:t>söz konusu temsilciye vekâlet eden kişi</w:t>
                      </w:r>
                      <w:r w:rsidRPr="00837717">
                        <w:rPr>
                          <w:sz w:val="20"/>
                          <w:szCs w:val="20"/>
                        </w:rPr>
                        <w:t>, ilgili temsilciye vekâleten kurul toplantılarına katılabilir.</w:t>
                      </w:r>
                    </w:p>
                  </w:txbxContent>
                </v:textbox>
              </v:shape>
            </w:pict>
          </mc:Fallback>
        </mc:AlternateContent>
      </w:r>
    </w:p>
    <w:p w:rsidR="00D87840" w:rsidRPr="00177F03" w:rsidRDefault="00D87840" w:rsidP="00D87840"/>
    <w:p w:rsidR="00081705" w:rsidRDefault="00081705">
      <w:bookmarkStart w:id="0" w:name="_GoBack"/>
      <w:bookmarkEnd w:id="0"/>
    </w:p>
    <w:sectPr w:rsidR="00081705" w:rsidSect="00177F0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64B7"/>
    <w:multiLevelType w:val="hybridMultilevel"/>
    <w:tmpl w:val="FCD2BECE"/>
    <w:lvl w:ilvl="0" w:tplc="A1EC4A0C">
      <w:numFmt w:val="bullet"/>
      <w:lvlText w:val=""/>
      <w:lvlJc w:val="left"/>
      <w:pPr>
        <w:ind w:left="360" w:hanging="360"/>
      </w:pPr>
      <w:rPr>
        <w:rFonts w:ascii="Symbol" w:eastAsiaTheme="minorHAnsi"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40"/>
    <w:rsid w:val="00081705"/>
    <w:rsid w:val="00D87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4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7840"/>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4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784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ARSLAN</dc:creator>
  <cp:lastModifiedBy>Dogan ARSLAN</cp:lastModifiedBy>
  <cp:revision>1</cp:revision>
  <dcterms:created xsi:type="dcterms:W3CDTF">2015-12-16T12:23:00Z</dcterms:created>
  <dcterms:modified xsi:type="dcterms:W3CDTF">2015-12-16T12:24:00Z</dcterms:modified>
</cp:coreProperties>
</file>